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CD" w:rsidRPr="00F308BF" w:rsidRDefault="00431790">
      <w:pPr>
        <w:pStyle w:val="1"/>
        <w:tabs>
          <w:tab w:val="left" w:pos="4603"/>
        </w:tabs>
        <w:spacing w:before="87"/>
        <w:rPr>
          <w:rFonts w:ascii="標楷體" w:eastAsia="標楷體" w:hAnsi="標楷體"/>
          <w:lang w:eastAsia="zh-TW"/>
        </w:rPr>
      </w:pPr>
      <w:r w:rsidRPr="00F308BF">
        <w:rPr>
          <w:rFonts w:ascii="標楷體" w:eastAsia="標楷體" w:hAnsi="標楷體"/>
          <w:lang w:eastAsia="zh-TW"/>
        </w:rPr>
        <w:t>國立東</w:t>
      </w:r>
      <w:r w:rsidRPr="00F308BF">
        <w:rPr>
          <w:rFonts w:ascii="標楷體" w:eastAsia="標楷體" w:hAnsi="標楷體"/>
          <w:spacing w:val="-3"/>
          <w:lang w:eastAsia="zh-TW"/>
        </w:rPr>
        <w:t>華</w:t>
      </w:r>
      <w:r w:rsidRPr="00F308BF">
        <w:rPr>
          <w:rFonts w:ascii="標楷體" w:eastAsia="標楷體" w:hAnsi="標楷體"/>
          <w:lang w:eastAsia="zh-TW"/>
        </w:rPr>
        <w:t>大學</w:t>
      </w:r>
      <w:r w:rsidRPr="00F308BF">
        <w:rPr>
          <w:rFonts w:ascii="標楷體" w:eastAsia="標楷體" w:hAnsi="標楷體"/>
          <w:spacing w:val="-3"/>
          <w:lang w:eastAsia="zh-TW"/>
        </w:rPr>
        <w:t>理工</w:t>
      </w:r>
      <w:r w:rsidRPr="00F308BF">
        <w:rPr>
          <w:rFonts w:ascii="標楷體" w:eastAsia="標楷體" w:hAnsi="標楷體"/>
          <w:lang w:eastAsia="zh-TW"/>
        </w:rPr>
        <w:t>學院</w:t>
      </w:r>
      <w:r w:rsidRPr="00F308BF">
        <w:rPr>
          <w:rFonts w:ascii="標楷體" w:eastAsia="標楷體" w:hAnsi="標楷體"/>
          <w:lang w:eastAsia="zh-TW"/>
        </w:rPr>
        <w:tab/>
        <w:t>系所</w:t>
      </w:r>
      <w:r w:rsidRPr="00F308BF">
        <w:rPr>
          <w:rFonts w:ascii="標楷體" w:eastAsia="標楷體" w:hAnsi="標楷體"/>
          <w:spacing w:val="-3"/>
          <w:lang w:eastAsia="zh-TW"/>
        </w:rPr>
        <w:t>專</w:t>
      </w:r>
      <w:r w:rsidRPr="00F308BF">
        <w:rPr>
          <w:rFonts w:ascii="標楷體" w:eastAsia="標楷體" w:hAnsi="標楷體"/>
          <w:lang w:eastAsia="zh-TW"/>
        </w:rPr>
        <w:t>任教師</w:t>
      </w:r>
      <w:r w:rsidRPr="00F308BF">
        <w:rPr>
          <w:rFonts w:ascii="標楷體" w:eastAsia="標楷體" w:hAnsi="標楷體"/>
          <w:spacing w:val="-3"/>
          <w:lang w:eastAsia="zh-TW"/>
        </w:rPr>
        <w:t>升</w:t>
      </w:r>
      <w:r w:rsidRPr="00F308BF">
        <w:rPr>
          <w:rFonts w:ascii="標楷體" w:eastAsia="標楷體" w:hAnsi="標楷體"/>
          <w:lang w:eastAsia="zh-TW"/>
        </w:rPr>
        <w:t>等評</w:t>
      </w:r>
      <w:r w:rsidRPr="00F308BF">
        <w:rPr>
          <w:rFonts w:ascii="標楷體" w:eastAsia="標楷體" w:hAnsi="標楷體"/>
          <w:spacing w:val="-3"/>
          <w:lang w:eastAsia="zh-TW"/>
        </w:rPr>
        <w:t>分</w:t>
      </w:r>
      <w:r w:rsidRPr="00F308BF">
        <w:rPr>
          <w:rFonts w:ascii="標楷體" w:eastAsia="標楷體" w:hAnsi="標楷體"/>
          <w:lang w:eastAsia="zh-TW"/>
        </w:rPr>
        <w:t>表(學術研</w:t>
      </w:r>
      <w:r w:rsidRPr="00F308BF">
        <w:rPr>
          <w:rFonts w:ascii="標楷體" w:eastAsia="標楷體" w:hAnsi="標楷體"/>
          <w:spacing w:val="-3"/>
          <w:lang w:eastAsia="zh-TW"/>
        </w:rPr>
        <w:t>究</w:t>
      </w:r>
      <w:r w:rsidRPr="00F308BF">
        <w:rPr>
          <w:rFonts w:ascii="標楷體" w:eastAsia="標楷體" w:hAnsi="標楷體"/>
          <w:lang w:eastAsia="zh-TW"/>
        </w:rPr>
        <w:t>類)</w:t>
      </w:r>
    </w:p>
    <w:p w:rsidR="009467CD" w:rsidRPr="00F308BF" w:rsidRDefault="00431790">
      <w:pPr>
        <w:spacing w:before="9"/>
        <w:ind w:right="136"/>
        <w:jc w:val="right"/>
        <w:rPr>
          <w:rFonts w:ascii="標楷體" w:eastAsia="標楷體" w:hAnsi="標楷體"/>
          <w:sz w:val="20"/>
        </w:rPr>
      </w:pPr>
      <w:r w:rsidRPr="00F308BF">
        <w:rPr>
          <w:rFonts w:ascii="標楷體" w:eastAsia="標楷體" w:hAnsi="標楷體" w:hint="eastAsia"/>
          <w:color w:val="FF0000"/>
          <w:w w:val="95"/>
          <w:sz w:val="20"/>
        </w:rPr>
        <w:t>114.5.21修訂</w:t>
      </w: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1128"/>
        <w:gridCol w:w="430"/>
        <w:gridCol w:w="428"/>
        <w:gridCol w:w="147"/>
        <w:gridCol w:w="356"/>
        <w:gridCol w:w="333"/>
        <w:gridCol w:w="430"/>
        <w:gridCol w:w="289"/>
        <w:gridCol w:w="1004"/>
        <w:gridCol w:w="231"/>
        <w:gridCol w:w="605"/>
        <w:gridCol w:w="439"/>
        <w:gridCol w:w="127"/>
        <w:gridCol w:w="708"/>
        <w:gridCol w:w="891"/>
        <w:gridCol w:w="494"/>
        <w:gridCol w:w="591"/>
      </w:tblGrid>
      <w:tr w:rsidR="009467CD" w:rsidRPr="00F308BF">
        <w:trPr>
          <w:trHeight w:val="680"/>
        </w:trPr>
        <w:tc>
          <w:tcPr>
            <w:tcW w:w="638" w:type="dxa"/>
            <w:tcBorders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77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姓</w:t>
            </w:r>
          </w:p>
        </w:tc>
        <w:tc>
          <w:tcPr>
            <w:tcW w:w="63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7"/>
              <w:ind w:left="235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名</w:t>
            </w:r>
          </w:p>
        </w:tc>
        <w:tc>
          <w:tcPr>
            <w:tcW w:w="19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77"/>
              <w:ind w:left="54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職</w:t>
            </w: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7"/>
              <w:ind w:left="28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稱</w:t>
            </w: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7"/>
              <w:ind w:left="8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擬升等職級</w:t>
            </w:r>
          </w:p>
        </w:tc>
        <w:tc>
          <w:tcPr>
            <w:tcW w:w="1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522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6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任本職級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96"/>
              <w:ind w:right="33"/>
              <w:jc w:val="right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6"/>
              <w:ind w:left="194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6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到校年月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96"/>
              <w:ind w:right="184"/>
              <w:jc w:val="right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6"/>
              <w:ind w:left="363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6"/>
              <w:ind w:left="19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年資採計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96"/>
              <w:ind w:left="75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6"/>
              <w:ind w:left="35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</w:tr>
      <w:tr w:rsidR="009467CD" w:rsidRPr="00F308BF">
        <w:trPr>
          <w:trHeight w:val="57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61" w:lineRule="exact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升等代表</w:t>
            </w:r>
          </w:p>
          <w:p w:rsidR="009467CD" w:rsidRPr="00F308BF" w:rsidRDefault="00431790">
            <w:pPr>
              <w:pStyle w:val="TableParagraph"/>
              <w:spacing w:before="3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著作名稱</w:t>
            </w:r>
          </w:p>
        </w:tc>
        <w:tc>
          <w:tcPr>
            <w:tcW w:w="86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606"/>
        </w:trPr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39"/>
              <w:ind w:left="19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出版處所</w:t>
            </w:r>
          </w:p>
        </w:tc>
        <w:tc>
          <w:tcPr>
            <w:tcW w:w="454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39"/>
              <w:ind w:left="194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出版日期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right w:val="nil"/>
            </w:tcBorders>
          </w:tcPr>
          <w:p w:rsidR="009467CD" w:rsidRPr="00F308BF" w:rsidRDefault="00431790">
            <w:pPr>
              <w:pStyle w:val="TableParagraph"/>
              <w:spacing w:before="139"/>
              <w:ind w:right="61"/>
              <w:jc w:val="right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年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</w:tcBorders>
          </w:tcPr>
          <w:p w:rsidR="009467CD" w:rsidRPr="00F308BF" w:rsidRDefault="00431790">
            <w:pPr>
              <w:pStyle w:val="TableParagraph"/>
              <w:spacing w:before="139"/>
              <w:ind w:left="21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月</w:t>
            </w:r>
          </w:p>
        </w:tc>
      </w:tr>
      <w:tr w:rsidR="009467CD" w:rsidRPr="00F308BF">
        <w:trPr>
          <w:trHeight w:val="661"/>
        </w:trPr>
        <w:tc>
          <w:tcPr>
            <w:tcW w:w="2404" w:type="dxa"/>
            <w:gridSpan w:val="3"/>
            <w:tcBorders>
              <w:bottom w:val="single" w:sz="2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4" w:line="242" w:lineRule="auto"/>
              <w:ind w:left="652" w:right="627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系所主管或教評會主席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2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68"/>
              <w:ind w:left="38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</w:t>
            </w:r>
          </w:p>
        </w:tc>
        <w:tc>
          <w:tcPr>
            <w:tcW w:w="57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68"/>
              <w:ind w:left="325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長</w:t>
            </w:r>
          </w:p>
        </w:tc>
        <w:tc>
          <w:tcPr>
            <w:tcW w:w="356" w:type="dxa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3" w:type="dxa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68"/>
              <w:ind w:left="102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簽</w:t>
            </w:r>
          </w:p>
        </w:tc>
        <w:tc>
          <w:tcPr>
            <w:tcW w:w="430" w:type="dxa"/>
            <w:tcBorders>
              <w:left w:val="nil"/>
              <w:bottom w:val="single" w:sz="2" w:space="0" w:color="000000"/>
              <w:right w:val="nil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9" w:type="dxa"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68"/>
              <w:ind w:left="50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68"/>
              <w:ind w:left="765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會</w:t>
            </w:r>
          </w:p>
        </w:tc>
        <w:tc>
          <w:tcPr>
            <w:tcW w:w="605" w:type="dxa"/>
            <w:tcBorders>
              <w:left w:val="nil"/>
              <w:bottom w:val="single" w:sz="6" w:space="0" w:color="000000"/>
              <w:right w:val="nil"/>
            </w:tcBorders>
          </w:tcPr>
          <w:p w:rsidR="009467CD" w:rsidRPr="00F308BF" w:rsidRDefault="00431790">
            <w:pPr>
              <w:pStyle w:val="TableParagraph"/>
              <w:spacing w:before="168"/>
              <w:ind w:left="19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簽</w:t>
            </w:r>
          </w:p>
        </w:tc>
        <w:tc>
          <w:tcPr>
            <w:tcW w:w="566" w:type="dxa"/>
            <w:gridSpan w:val="2"/>
            <w:tcBorders>
              <w:left w:val="nil"/>
              <w:bottom w:val="single" w:sz="6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84" w:type="dxa"/>
            <w:gridSpan w:val="4"/>
            <w:tcBorders>
              <w:bottom w:val="single" w:sz="6" w:space="0" w:color="000000"/>
            </w:tcBorders>
          </w:tcPr>
          <w:p w:rsidR="009467CD" w:rsidRPr="00F308BF" w:rsidRDefault="00431790">
            <w:pPr>
              <w:pStyle w:val="TableParagraph"/>
              <w:spacing w:before="168"/>
              <w:ind w:left="892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校長核定</w:t>
            </w:r>
          </w:p>
        </w:tc>
      </w:tr>
      <w:tr w:rsidR="009467CD" w:rsidRPr="00F308BF">
        <w:trPr>
          <w:trHeight w:val="978"/>
        </w:trPr>
        <w:tc>
          <w:tcPr>
            <w:tcW w:w="2404" w:type="dxa"/>
            <w:gridSpan w:val="3"/>
            <w:tcBorders>
              <w:top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3" w:type="dxa"/>
            <w:gridSpan w:val="7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84" w:type="dxa"/>
            <w:gridSpan w:val="4"/>
            <w:vMerge w:val="restart"/>
            <w:tcBorders>
              <w:top w:val="single" w:sz="6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1779"/>
        </w:trPr>
        <w:tc>
          <w:tcPr>
            <w:tcW w:w="2404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609"/>
                <w:tab w:val="left" w:pos="2159"/>
              </w:tabs>
              <w:spacing w:before="41" w:line="242" w:lineRule="auto"/>
              <w:ind w:left="1720" w:right="1" w:hanging="663"/>
              <w:jc w:val="right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月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</w:r>
            <w:r w:rsidRPr="00F308BF">
              <w:rPr>
                <w:rFonts w:ascii="標楷體" w:eastAsia="標楷體" w:hAnsi="標楷體"/>
                <w:spacing w:val="-1"/>
                <w:lang w:eastAsia="zh-TW"/>
              </w:rPr>
              <w:t>日</w:t>
            </w:r>
            <w:r w:rsidRPr="00F308BF">
              <w:rPr>
                <w:rFonts w:ascii="標楷體" w:eastAsia="標楷體" w:hAnsi="標楷體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>度</w:t>
            </w:r>
          </w:p>
          <w:p w:rsidR="009467CD" w:rsidRPr="00F308BF" w:rsidRDefault="00431790">
            <w:pPr>
              <w:pStyle w:val="TableParagraph"/>
              <w:tabs>
                <w:tab w:val="left" w:pos="1060"/>
                <w:tab w:val="left" w:pos="2159"/>
              </w:tabs>
              <w:spacing w:before="1" w:line="242" w:lineRule="auto"/>
              <w:ind w:left="236" w:right="1" w:firstLine="27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學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期</w:t>
            </w: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次系所教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評</w:t>
            </w:r>
            <w:r w:rsidRPr="00F308BF">
              <w:rPr>
                <w:rFonts w:ascii="標楷體" w:eastAsia="標楷體" w:hAnsi="標楷體"/>
                <w:lang w:eastAsia="zh-TW"/>
              </w:rPr>
              <w:t>會審查</w:t>
            </w:r>
          </w:p>
          <w:p w:rsidR="009467CD" w:rsidRPr="00F308BF" w:rsidRDefault="00431790">
            <w:pPr>
              <w:pStyle w:val="TableParagraph"/>
              <w:spacing w:before="5"/>
              <w:ind w:left="23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□通過</w:t>
            </w:r>
          </w:p>
          <w:p w:rsidR="009467CD" w:rsidRPr="00F308BF" w:rsidRDefault="00431790">
            <w:pPr>
              <w:pStyle w:val="TableParagraph"/>
              <w:spacing w:before="3"/>
              <w:ind w:left="236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□不通過</w:t>
            </w:r>
          </w:p>
        </w:tc>
        <w:tc>
          <w:tcPr>
            <w:tcW w:w="2413" w:type="dxa"/>
            <w:gridSpan w:val="7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620"/>
                <w:tab w:val="left" w:pos="2170"/>
              </w:tabs>
              <w:spacing w:before="7" w:line="242" w:lineRule="auto"/>
              <w:ind w:left="1731" w:right="9" w:hanging="663"/>
              <w:jc w:val="right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月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</w:r>
            <w:r w:rsidRPr="00F308BF">
              <w:rPr>
                <w:rFonts w:ascii="標楷體" w:eastAsia="標楷體" w:hAnsi="標楷體"/>
                <w:spacing w:val="-1"/>
                <w:lang w:eastAsia="zh-TW"/>
              </w:rPr>
              <w:t>日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lang w:eastAsia="zh-TW"/>
              </w:rPr>
              <w:t>年度</w:t>
            </w:r>
          </w:p>
          <w:p w:rsidR="009467CD" w:rsidRPr="00F308BF" w:rsidRDefault="00431790">
            <w:pPr>
              <w:pStyle w:val="TableParagraph"/>
              <w:tabs>
                <w:tab w:val="left" w:pos="1070"/>
                <w:tab w:val="left" w:pos="2170"/>
              </w:tabs>
              <w:spacing w:before="2" w:line="242" w:lineRule="auto"/>
              <w:ind w:left="247" w:right="9" w:firstLine="27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學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期</w:t>
            </w: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次院教評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會</w:t>
            </w:r>
            <w:r w:rsidRPr="00F308BF">
              <w:rPr>
                <w:rFonts w:ascii="標楷體" w:eastAsia="標楷體" w:hAnsi="標楷體"/>
                <w:lang w:eastAsia="zh-TW"/>
              </w:rPr>
              <w:t>審查</w:t>
            </w:r>
          </w:p>
          <w:p w:rsidR="009467CD" w:rsidRPr="00F308BF" w:rsidRDefault="00431790">
            <w:pPr>
              <w:pStyle w:val="TableParagraph"/>
              <w:spacing w:before="2"/>
              <w:ind w:left="24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□通過</w:t>
            </w:r>
          </w:p>
          <w:p w:rsidR="009467CD" w:rsidRPr="00F308BF" w:rsidRDefault="00431790">
            <w:pPr>
              <w:pStyle w:val="TableParagraph"/>
              <w:spacing w:before="3"/>
              <w:ind w:left="247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□不通過</w:t>
            </w:r>
          </w:p>
        </w:tc>
        <w:tc>
          <w:tcPr>
            <w:tcW w:w="2406" w:type="dxa"/>
            <w:gridSpan w:val="5"/>
            <w:tcBorders>
              <w:top w:val="single" w:sz="6" w:space="0" w:color="000000"/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612"/>
                <w:tab w:val="left" w:pos="2162"/>
              </w:tabs>
              <w:spacing w:before="41" w:line="242" w:lineRule="auto"/>
              <w:ind w:left="1722" w:hanging="663"/>
              <w:jc w:val="right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年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月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日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lang w:eastAsia="zh-TW"/>
              </w:rPr>
              <w:t>年度</w:t>
            </w:r>
          </w:p>
          <w:p w:rsidR="009467CD" w:rsidRPr="00F308BF" w:rsidRDefault="00431790">
            <w:pPr>
              <w:pStyle w:val="TableParagraph"/>
              <w:tabs>
                <w:tab w:val="left" w:pos="1062"/>
                <w:tab w:val="left" w:pos="2162"/>
              </w:tabs>
              <w:spacing w:before="1" w:line="242" w:lineRule="auto"/>
              <w:ind w:left="239" w:firstLine="16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學</w:t>
            </w:r>
            <w:r w:rsidRPr="00F308BF">
              <w:rPr>
                <w:rFonts w:ascii="標楷體" w:eastAsia="標楷體" w:hAnsi="標楷體"/>
                <w:lang w:eastAsia="zh-TW"/>
              </w:rPr>
              <w:t>期第</w:t>
            </w:r>
            <w:r w:rsidRPr="00F308BF">
              <w:rPr>
                <w:rFonts w:ascii="標楷體" w:eastAsia="標楷體" w:hAnsi="標楷體"/>
                <w:lang w:eastAsia="zh-TW"/>
              </w:rPr>
              <w:tab/>
              <w:t>次校教評</w:t>
            </w:r>
            <w:r w:rsidRPr="00F308BF">
              <w:rPr>
                <w:rFonts w:ascii="標楷體" w:eastAsia="標楷體" w:hAnsi="標楷體"/>
                <w:spacing w:val="-3"/>
                <w:lang w:eastAsia="zh-TW"/>
              </w:rPr>
              <w:t>會</w:t>
            </w:r>
            <w:r w:rsidRPr="00F308BF">
              <w:rPr>
                <w:rFonts w:ascii="標楷體" w:eastAsia="標楷體" w:hAnsi="標楷體"/>
                <w:lang w:eastAsia="zh-TW"/>
              </w:rPr>
              <w:t>審查</w:t>
            </w:r>
          </w:p>
          <w:p w:rsidR="009467CD" w:rsidRPr="00F308BF" w:rsidRDefault="00431790">
            <w:pPr>
              <w:pStyle w:val="TableParagraph"/>
              <w:spacing w:before="5"/>
              <w:ind w:left="23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□通過</w:t>
            </w:r>
          </w:p>
          <w:p w:rsidR="009467CD" w:rsidRPr="00F308BF" w:rsidRDefault="00431790">
            <w:pPr>
              <w:pStyle w:val="TableParagraph"/>
              <w:spacing w:before="3"/>
              <w:ind w:left="23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□不通過</w:t>
            </w:r>
          </w:p>
        </w:tc>
        <w:tc>
          <w:tcPr>
            <w:tcW w:w="2684" w:type="dxa"/>
            <w:gridSpan w:val="4"/>
            <w:vMerge/>
            <w:tcBorders>
              <w:top w:val="nil"/>
            </w:tcBorders>
          </w:tcPr>
          <w:p w:rsidR="009467CD" w:rsidRPr="00F308BF" w:rsidRDefault="009467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9467CD" w:rsidRPr="00F308BF" w:rsidRDefault="009467CD">
      <w:pPr>
        <w:pStyle w:val="a3"/>
        <w:spacing w:before="10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711"/>
        <w:gridCol w:w="1205"/>
        <w:gridCol w:w="1368"/>
        <w:gridCol w:w="1368"/>
      </w:tblGrid>
      <w:tr w:rsidR="009467CD" w:rsidRPr="00F308BF">
        <w:trPr>
          <w:trHeight w:val="718"/>
        </w:trPr>
        <w:tc>
          <w:tcPr>
            <w:tcW w:w="5249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980"/>
              </w:tabs>
              <w:spacing w:before="27" w:line="387" w:lineRule="exact"/>
              <w:ind w:left="19"/>
              <w:jc w:val="center"/>
              <w:rPr>
                <w:rFonts w:ascii="標楷體" w:eastAsia="標楷體" w:hAnsi="標楷體"/>
                <w:sz w:val="32"/>
              </w:rPr>
            </w:pPr>
            <w:r w:rsidRPr="00F308BF">
              <w:rPr>
                <w:rFonts w:ascii="標楷體" w:eastAsia="標楷體" w:hAnsi="標楷體"/>
                <w:sz w:val="32"/>
              </w:rPr>
              <w:t>教</w:t>
            </w:r>
            <w:r w:rsidRPr="00F308BF">
              <w:rPr>
                <w:rFonts w:ascii="標楷體" w:eastAsia="標楷體" w:hAnsi="標楷體"/>
                <w:sz w:val="32"/>
              </w:rPr>
              <w:tab/>
              <w:t>學</w:t>
            </w:r>
          </w:p>
          <w:p w:rsidR="009467CD" w:rsidRPr="00F308BF" w:rsidRDefault="00431790">
            <w:pPr>
              <w:pStyle w:val="TableParagraph"/>
              <w:spacing w:line="259" w:lineRule="exact"/>
              <w:ind w:left="2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本職級內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" w:line="204" w:lineRule="auto"/>
              <w:ind w:left="143" w:right="113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檢附證明</w:t>
            </w:r>
          </w:p>
          <w:p w:rsidR="009467CD" w:rsidRPr="00F308BF" w:rsidRDefault="00431790">
            <w:pPr>
              <w:pStyle w:val="TableParagraph"/>
              <w:spacing w:line="215" w:lineRule="exact"/>
              <w:ind w:left="143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" w:line="204" w:lineRule="auto"/>
              <w:ind w:left="279" w:right="250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系所科教評會</w:t>
            </w:r>
          </w:p>
          <w:p w:rsidR="009467CD" w:rsidRPr="00F308BF" w:rsidRDefault="00431790">
            <w:pPr>
              <w:pStyle w:val="TableParagraph"/>
              <w:spacing w:line="215" w:lineRule="exact"/>
              <w:ind w:left="277" w:right="250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初評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24" w:line="204" w:lineRule="auto"/>
              <w:ind w:left="474" w:right="219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院教評會複評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24" w:line="204" w:lineRule="auto"/>
              <w:ind w:left="474" w:right="209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校教評會總評</w:t>
            </w:r>
          </w:p>
        </w:tc>
      </w:tr>
      <w:tr w:rsidR="009467CD" w:rsidRPr="00F308BF">
        <w:trPr>
          <w:trHeight w:val="255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" w:line="235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1. 教學年資(至多 20 分)：教學年資每學期 2 分。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</w:tr>
      <w:tr w:rsidR="009467CD" w:rsidRPr="00F308BF">
        <w:trPr>
          <w:trHeight w:val="47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2.</w:t>
            </w:r>
            <w:r w:rsidRPr="00F308BF">
              <w:rPr>
                <w:rFonts w:ascii="標楷體" w:eastAsia="標楷體" w:hAnsi="標楷體"/>
                <w:color w:val="FF0000"/>
                <w:spacing w:val="-60"/>
                <w:sz w:val="20"/>
                <w:lang w:eastAsia="zh-TW"/>
              </w:rPr>
              <w:t xml:space="preserve"> </w:t>
            </w:r>
            <w:r w:rsidRPr="00F308BF">
              <w:rPr>
                <w:rFonts w:ascii="標楷體" w:eastAsia="標楷體" w:hAnsi="標楷體"/>
                <w:color w:val="FF0000"/>
                <w:sz w:val="20"/>
                <w:u w:val="single" w:color="FF0000"/>
                <w:lang w:eastAsia="zh-TW"/>
              </w:rPr>
              <w:t>教學意見調查</w:t>
            </w:r>
            <w:r w:rsidRPr="00F308BF">
              <w:rPr>
                <w:rFonts w:ascii="標楷體" w:eastAsia="標楷體" w:hAnsi="標楷體"/>
                <w:spacing w:val="-13"/>
                <w:sz w:val="20"/>
                <w:lang w:eastAsia="zh-TW"/>
              </w:rPr>
              <w:t xml:space="preserve">(最高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60</w:t>
            </w:r>
            <w:r w:rsidRPr="00F308BF">
              <w:rPr>
                <w:rFonts w:ascii="標楷體" w:eastAsia="標楷體" w:hAnsi="標楷體"/>
                <w:spacing w:val="-8"/>
                <w:sz w:val="20"/>
                <w:lang w:eastAsia="zh-TW"/>
              </w:rPr>
              <w:t xml:space="preserve"> 分)：依升等年資內</w:t>
            </w:r>
            <w:r w:rsidRPr="00F308BF">
              <w:rPr>
                <w:rFonts w:ascii="標楷體" w:eastAsia="標楷體" w:hAnsi="標楷體"/>
                <w:color w:val="FF0000"/>
                <w:sz w:val="20"/>
                <w:u w:val="single" w:color="FF0000"/>
                <w:lang w:eastAsia="zh-TW"/>
              </w:rPr>
              <w:t>教學意見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分數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272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計算。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95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3. 優良教師(至多 20 分)：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7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(1)校級優良教師者每次計 10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7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(2)院級優良教師者每次計 5 分。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本項校及院同年度獲獎時，擇優採計1次。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239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開設課程(多人合授則平分之)(至多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20</w:t>
            </w:r>
            <w:r w:rsidRPr="00F308BF">
              <w:rPr>
                <w:rFonts w:ascii="標楷體" w:eastAsia="標楷體" w:hAnsi="標楷體"/>
                <w:spacing w:val="-13"/>
                <w:sz w:val="20"/>
                <w:lang w:eastAsia="zh-TW"/>
              </w:rPr>
              <w:t xml:space="preserve"> 分)：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全英文授課，每開一門加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通識課程，每開一門加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遠距教學，每開一門加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設計創新課程(如：翻轉教室、磨客師)，每一門加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748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2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before="4" w:line="225" w:lineRule="auto"/>
              <w:ind w:right="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超支基本授課時數且未支領超鐘點費者，每一鐘點</w:t>
            </w:r>
            <w:r w:rsidRPr="00F308BF">
              <w:rPr>
                <w:rFonts w:ascii="標楷體" w:eastAsia="標楷體" w:hAnsi="標楷體"/>
                <w:spacing w:val="-24"/>
                <w:sz w:val="20"/>
                <w:lang w:eastAsia="zh-TW"/>
              </w:rPr>
              <w:t xml:space="preserve">加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34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10"/>
                <w:sz w:val="20"/>
                <w:lang w:eastAsia="zh-TW"/>
              </w:rPr>
              <w:t>配合系所課程開設有貢獻者，由系教評會酌加分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748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數，以 10 分為上限。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1442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2" w:lineRule="exact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pacing w:val="-5"/>
                <w:sz w:val="20"/>
              </w:rPr>
              <w:t xml:space="preserve">其他教學表現(至多 </w:t>
            </w:r>
            <w:r w:rsidRPr="00F308BF">
              <w:rPr>
                <w:rFonts w:ascii="標楷體" w:eastAsia="標楷體" w:hAnsi="標楷體"/>
                <w:sz w:val="20"/>
              </w:rPr>
              <w:t>10</w:t>
            </w:r>
            <w:r w:rsidRPr="00F308BF">
              <w:rPr>
                <w:rFonts w:ascii="標楷體" w:eastAsia="標楷體" w:hAnsi="標楷體"/>
                <w:spacing w:val="-17"/>
                <w:sz w:val="20"/>
              </w:rPr>
              <w:t xml:space="preserve"> 分)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</w:tabs>
              <w:spacing w:before="4" w:line="225" w:lineRule="auto"/>
              <w:ind w:right="2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參與校內外教學相關研討會、研習會或教學成長相</w:t>
            </w:r>
            <w:r w:rsidRPr="00F308BF">
              <w:rPr>
                <w:rFonts w:ascii="標楷體" w:eastAsia="標楷體" w:hAnsi="標楷體"/>
                <w:spacing w:val="-8"/>
                <w:sz w:val="20"/>
                <w:lang w:eastAsia="zh-TW"/>
              </w:rPr>
              <w:t xml:space="preserve">關活動，每次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7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</w:tabs>
              <w:spacing w:line="234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執行教育部教學改進相關計畫，每件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</w:t>
            </w:r>
            <w:r w:rsidRPr="00F308BF">
              <w:rPr>
                <w:rFonts w:ascii="標楷體" w:eastAsia="標楷體" w:hAnsi="標楷體"/>
                <w:spacing w:val="-17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</w:tabs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其它教學有具體貢獻者，由系教評會酌加分數，以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748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5 分為上限。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553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2" w:line="225" w:lineRule="auto"/>
              <w:ind w:left="28" w:right="5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以上4,5項所列評分項目，上一級教評會得對前一級教評會核分結果，於前列額度內增減之。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380"/>
        </w:trPr>
        <w:tc>
          <w:tcPr>
            <w:tcW w:w="5960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36"/>
              <w:ind w:left="1712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教學成績小計(至多100分)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9467CD" w:rsidRPr="00F308BF" w:rsidRDefault="009467CD">
      <w:pPr>
        <w:rPr>
          <w:rFonts w:ascii="標楷體" w:eastAsia="標楷體" w:hAnsi="標楷體"/>
          <w:sz w:val="20"/>
        </w:rPr>
        <w:sectPr w:rsidR="009467CD" w:rsidRPr="00F308BF">
          <w:pgSz w:w="11910" w:h="16840"/>
          <w:pgMar w:top="158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205"/>
        <w:gridCol w:w="1368"/>
        <w:gridCol w:w="1368"/>
      </w:tblGrid>
      <w:tr w:rsidR="009467CD" w:rsidRPr="00F308BF">
        <w:trPr>
          <w:trHeight w:val="457"/>
        </w:trPr>
        <w:tc>
          <w:tcPr>
            <w:tcW w:w="5959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74"/>
              <w:ind w:left="1602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lastRenderedPageBreak/>
              <w:t>加權後教學成績佔總評分40%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</w:tbl>
    <w:p w:rsidR="009467CD" w:rsidRPr="00F308BF" w:rsidRDefault="009467CD">
      <w:pPr>
        <w:pStyle w:val="a3"/>
        <w:spacing w:before="8"/>
        <w:ind w:left="0"/>
        <w:rPr>
          <w:rFonts w:ascii="標楷體" w:eastAsia="標楷體" w:hAnsi="標楷體"/>
          <w:sz w:val="20"/>
          <w:lang w:eastAsia="zh-TW"/>
        </w:r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711"/>
        <w:gridCol w:w="1205"/>
        <w:gridCol w:w="1368"/>
        <w:gridCol w:w="1368"/>
      </w:tblGrid>
      <w:tr w:rsidR="009467CD" w:rsidRPr="00F308BF">
        <w:trPr>
          <w:trHeight w:val="939"/>
        </w:trPr>
        <w:tc>
          <w:tcPr>
            <w:tcW w:w="5249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04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F308BF">
              <w:rPr>
                <w:rFonts w:ascii="標楷體" w:eastAsia="標楷體" w:hAnsi="標楷體"/>
                <w:sz w:val="32"/>
              </w:rPr>
              <w:t>服務及輔導</w:t>
            </w:r>
          </w:p>
          <w:p w:rsidR="009467CD" w:rsidRPr="00F308BF" w:rsidRDefault="00431790">
            <w:pPr>
              <w:pStyle w:val="TableParagraph"/>
              <w:spacing w:before="9"/>
              <w:ind w:left="2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本職級內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84" w:line="211" w:lineRule="auto"/>
              <w:ind w:left="143" w:right="113"/>
              <w:jc w:val="both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檢附證明文件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9" w:line="244" w:lineRule="auto"/>
              <w:ind w:left="279" w:right="250"/>
              <w:jc w:val="both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系所科教評會初評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3" w:line="242" w:lineRule="auto"/>
              <w:ind w:left="474" w:right="219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院教評會複評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73" w:line="242" w:lineRule="auto"/>
              <w:ind w:left="474" w:right="209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校教評會總評</w:t>
            </w:r>
          </w:p>
        </w:tc>
      </w:tr>
      <w:tr w:rsidR="009467CD" w:rsidRPr="00F308BF">
        <w:trPr>
          <w:trHeight w:val="831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9" w:line="248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1.服務年資(至多20分)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(1)服務滿一年，每學年給 2 分；至多 10 分。</w:t>
            </w:r>
          </w:p>
          <w:p w:rsidR="009467CD" w:rsidRPr="00F308BF" w:rsidRDefault="00431790">
            <w:pPr>
              <w:pStyle w:val="TableParagraph"/>
              <w:spacing w:line="248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(2)擔任導師工作，每學年給 2 分。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978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" w:line="248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2.行政服務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(1)擔任校內一級主管行政職務，每學年計 10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(2)擔任校內二級主管行政職務，每學年計 5 分。</w:t>
            </w:r>
          </w:p>
          <w:p w:rsidR="009467CD" w:rsidRPr="00F308BF" w:rsidRDefault="00431790">
            <w:pPr>
              <w:pStyle w:val="TableParagraph"/>
              <w:spacing w:line="229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(3)其他行政職務(含研究中心主任)每學年計 2 分。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95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9" w:right="2579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3.各級委員會委員(至多20分)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)擔任校內系、院及校各級委員會委員，每學年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4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(2)任務型委員每次 2 分。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467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委員會以校長或本院核定成立者始得列入計分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95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4.優良導師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(1)獲校優良導師，每次10分。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(2)獲系、院優良導師，每次5分。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本項校院系同年度獲獎時，擇優採計1次。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167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5.關懷學生(至多10分)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530" w:right="99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(1)協助學生解決問題，並主動與學務單位聯繫，有具體 </w:t>
            </w:r>
            <w:r w:rsidRPr="00F308BF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輔導事實，每次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25" w:lineRule="auto"/>
              <w:ind w:left="530" w:right="82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(2)參與輔導知能訓練相關研討會、座談或研習，每次 2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(3)其他關懷學生與輔導有貢獻者，得由系教評會酌加分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</w:rPr>
            </w:pPr>
            <w:r w:rsidRPr="00F308BF">
              <w:rPr>
                <w:rFonts w:ascii="標楷體" w:eastAsia="標楷體" w:hAnsi="標楷體"/>
                <w:sz w:val="20"/>
              </w:rPr>
              <w:t>數，以 5 分為上限。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215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9" w:right="2177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6.協助系院校辦理活動(至多40分)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)舉辦研討會或其他學術相關活動有貢獻者，每次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26"/>
                <w:sz w:val="20"/>
                <w:lang w:eastAsia="zh-TW"/>
              </w:rPr>
              <w:t xml:space="preserve"> 至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10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(2)辦理入學考試等相關業務，每次 2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(3)各類評鑑工作，每次 10 分。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530" w:right="248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(4</w:t>
            </w: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)國外招生宣傳，每次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20</w:t>
            </w:r>
            <w:r w:rsidRPr="00F308BF">
              <w:rPr>
                <w:rFonts w:ascii="標楷體" w:eastAsia="標楷體" w:hAnsi="標楷體"/>
                <w:spacing w:val="-12"/>
                <w:sz w:val="20"/>
                <w:lang w:eastAsia="zh-TW"/>
              </w:rPr>
              <w:t xml:space="preserve"> 分；國內招生宣傳，每次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(5)其他協助系院校辦理活動有貢獻者，得由系教評會酌</w:t>
            </w:r>
          </w:p>
          <w:p w:rsidR="009467CD" w:rsidRPr="00F308BF" w:rsidRDefault="00431790">
            <w:pPr>
              <w:pStyle w:val="TableParagraph"/>
              <w:spacing w:line="220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加分數，以 20 分為上限。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2159"/>
        </w:trPr>
        <w:tc>
          <w:tcPr>
            <w:tcW w:w="5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7.校內外其他服務(至多10分)</w:t>
            </w:r>
          </w:p>
          <w:p w:rsidR="009467CD" w:rsidRPr="00F308BF" w:rsidRDefault="00431790">
            <w:pPr>
              <w:pStyle w:val="TableParagraph"/>
              <w:spacing w:before="4" w:line="225" w:lineRule="auto"/>
              <w:ind w:left="530" w:right="99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(1)協助校外各級學校進行教學改進、課程設計、舉辦活 </w:t>
            </w:r>
            <w:r w:rsidRPr="00F308BF">
              <w:rPr>
                <w:rFonts w:ascii="標楷體" w:eastAsia="標楷體" w:hAnsi="標楷體"/>
                <w:spacing w:val="-7"/>
                <w:sz w:val="20"/>
                <w:lang w:eastAsia="zh-TW"/>
              </w:rPr>
              <w:t xml:space="preserve">動等服務，每次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34"/>
                <w:sz w:val="20"/>
                <w:lang w:eastAsia="zh-TW"/>
              </w:rPr>
              <w:t xml:space="preserve"> 至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</w:t>
            </w:r>
            <w:r w:rsidRPr="00F308BF">
              <w:rPr>
                <w:rFonts w:ascii="標楷體" w:eastAsia="標楷體" w:hAnsi="標楷體"/>
                <w:spacing w:val="-17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(2)推動產學合作計畫，每件 5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(3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)擔任國內外知名學術期刊編輯，每學年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35"/>
                <w:sz w:val="20"/>
                <w:lang w:eastAsia="zh-TW"/>
              </w:rPr>
              <w:t xml:space="preserve"> 至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10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(4)擔任國內外審稿人，每學年每項 2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(5</w:t>
            </w:r>
            <w:r w:rsidRPr="00F308BF">
              <w:rPr>
                <w:rFonts w:ascii="標楷體" w:eastAsia="標楷體" w:hAnsi="標楷體"/>
                <w:spacing w:val="-3"/>
                <w:sz w:val="20"/>
                <w:lang w:eastAsia="zh-TW"/>
              </w:rPr>
              <w:t xml:space="preserve">)有助提昇本校名譽之校外相關服務，每次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F308BF">
              <w:rPr>
                <w:rFonts w:ascii="標楷體" w:eastAsia="標楷體" w:hAnsi="標楷體"/>
                <w:spacing w:val="-35"/>
                <w:sz w:val="20"/>
                <w:lang w:eastAsia="zh-TW"/>
              </w:rPr>
              <w:t xml:space="preserve"> 至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8"/>
                <w:sz w:val="20"/>
                <w:lang w:eastAsia="zh-TW"/>
              </w:rPr>
              <w:t xml:space="preserve"> 分。</w:t>
            </w:r>
          </w:p>
          <w:p w:rsidR="009467CD" w:rsidRPr="00F308BF" w:rsidRDefault="00431790">
            <w:pPr>
              <w:pStyle w:val="TableParagraph"/>
              <w:spacing w:line="240" w:lineRule="exact"/>
              <w:ind w:left="530" w:right="99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(6)其他校內外服務有貢獻者，得由系教評會酌加分數， </w:t>
            </w:r>
            <w:r w:rsidRPr="00F308BF">
              <w:rPr>
                <w:rFonts w:ascii="標楷體" w:eastAsia="標楷體" w:hAnsi="標楷體"/>
                <w:spacing w:val="-26"/>
                <w:sz w:val="20"/>
                <w:lang w:eastAsia="zh-TW"/>
              </w:rPr>
              <w:t xml:space="preserve">以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5</w:t>
            </w:r>
            <w:r w:rsidRPr="00F308BF">
              <w:rPr>
                <w:rFonts w:ascii="標楷體" w:eastAsia="標楷體" w:hAnsi="標楷體"/>
                <w:spacing w:val="-10"/>
                <w:sz w:val="20"/>
                <w:lang w:eastAsia="zh-TW"/>
              </w:rPr>
              <w:t xml:space="preserve"> 分為上限。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553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1" w:line="225" w:lineRule="auto"/>
              <w:ind w:left="28" w:right="5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以上各5-7項所列評分項目，上一級教評會得對前一級教評會核分結果，綜合考評後於前列額度內增減之。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399"/>
        </w:trPr>
        <w:tc>
          <w:tcPr>
            <w:tcW w:w="5960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5"/>
              <w:ind w:left="1381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服務及輔導成績小計(至多100分)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404"/>
        </w:trPr>
        <w:tc>
          <w:tcPr>
            <w:tcW w:w="5960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48"/>
              <w:ind w:left="1602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加權後服務成績佔總評分20%</w:t>
            </w: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</w:tbl>
    <w:p w:rsidR="009467CD" w:rsidRPr="00F308BF" w:rsidRDefault="009467CD">
      <w:pPr>
        <w:rPr>
          <w:rFonts w:ascii="標楷體" w:eastAsia="標楷體" w:hAnsi="標楷體"/>
          <w:sz w:val="20"/>
          <w:lang w:eastAsia="zh-TW"/>
        </w:rPr>
        <w:sectPr w:rsidR="009467CD" w:rsidRPr="00F308BF">
          <w:pgSz w:w="11910" w:h="16840"/>
          <w:pgMar w:top="1420" w:right="8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36"/>
        <w:gridCol w:w="1368"/>
        <w:gridCol w:w="1368"/>
        <w:gridCol w:w="1368"/>
      </w:tblGrid>
      <w:tr w:rsidR="009467CD" w:rsidRPr="00F308BF">
        <w:trPr>
          <w:trHeight w:val="857"/>
        </w:trPr>
        <w:tc>
          <w:tcPr>
            <w:tcW w:w="4860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207"/>
              <w:ind w:left="19"/>
              <w:jc w:val="center"/>
              <w:rPr>
                <w:rFonts w:ascii="標楷體" w:eastAsia="標楷體" w:hAnsi="標楷體"/>
                <w:sz w:val="32"/>
              </w:rPr>
            </w:pPr>
            <w:r w:rsidRPr="00F308BF">
              <w:rPr>
                <w:rFonts w:ascii="標楷體" w:eastAsia="標楷體" w:hAnsi="標楷體"/>
                <w:sz w:val="32"/>
              </w:rPr>
              <w:t>研究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9467CD" w:rsidRPr="00F308BF" w:rsidRDefault="00431790">
            <w:pPr>
              <w:pStyle w:val="TableParagraph"/>
              <w:ind w:left="259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附件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line="242" w:lineRule="auto"/>
              <w:ind w:left="362" w:right="33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系所科教評會</w:t>
            </w:r>
          </w:p>
          <w:p w:rsidR="009467CD" w:rsidRPr="00F308BF" w:rsidRDefault="00431790">
            <w:pPr>
              <w:pStyle w:val="TableParagraph"/>
              <w:spacing w:line="276" w:lineRule="exact"/>
              <w:ind w:left="359" w:right="33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初評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32" w:line="242" w:lineRule="auto"/>
              <w:ind w:left="475" w:right="21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院教評會複評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32" w:line="242" w:lineRule="auto"/>
              <w:ind w:left="475" w:right="208" w:hanging="22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校教評會總評</w:t>
            </w:r>
          </w:p>
        </w:tc>
      </w:tr>
      <w:tr w:rsidR="009467CD" w:rsidRPr="00F308BF">
        <w:trPr>
          <w:trHeight w:val="3721"/>
        </w:trPr>
        <w:tc>
          <w:tcPr>
            <w:tcW w:w="4860" w:type="dxa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5" w:line="225" w:lineRule="auto"/>
              <w:ind w:right="64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申請人在取得前一職級教師資格後(本職級)所發表</w:t>
            </w: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於國內外之學術研究專門著作，至多5件。由申請人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自行擇一著作為代表著作且申請人為通訊作者或主要貢獻者，其餘列為參考著作；如屬系列相關研究之著作，得合併為代表著作。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56" w:line="225" w:lineRule="auto"/>
              <w:ind w:right="166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不得含以博士學位畢業論文或其中之一部分另行發 表之著作，但未曾以該學位論文送審或屬學位論文 延續性研究者，經送審人主動提出說明，並經專業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審查認定著作具相當程度創新者，不在此限。</w:t>
            </w:r>
          </w:p>
          <w:p w:rsidR="009467CD" w:rsidRPr="00F308BF" w:rsidRDefault="0043179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57" w:line="225" w:lineRule="auto"/>
              <w:ind w:right="166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w w:val="95"/>
                <w:sz w:val="20"/>
                <w:lang w:eastAsia="zh-TW"/>
              </w:rPr>
              <w:t xml:space="preserve">院複評給分方式：依照外審委員平均分數計分且符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合下列標準：</w:t>
            </w:r>
          </w:p>
          <w:p w:rsidR="009467CD" w:rsidRPr="00F308BF" w:rsidRDefault="00431790">
            <w:pPr>
              <w:pStyle w:val="TableParagraph"/>
              <w:spacing w:line="225" w:lineRule="auto"/>
              <w:ind w:left="573" w:right="262" w:hanging="301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(1)送審副教授者：6</w:t>
            </w:r>
            <w:r w:rsidRPr="00F308BF">
              <w:rPr>
                <w:rFonts w:ascii="標楷體" w:eastAsia="標楷體" w:hAnsi="標楷體"/>
                <w:spacing w:val="-12"/>
                <w:sz w:val="20"/>
                <w:lang w:eastAsia="zh-TW"/>
              </w:rPr>
              <w:t xml:space="preserve"> 位外審委員平均分數應達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 xml:space="preserve">70 </w:t>
            </w:r>
            <w:r w:rsidRPr="00F308BF">
              <w:rPr>
                <w:rFonts w:ascii="標楷體" w:eastAsia="標楷體" w:hAnsi="標楷體"/>
                <w:spacing w:val="-5"/>
                <w:sz w:val="20"/>
                <w:lang w:eastAsia="zh-TW"/>
              </w:rPr>
              <w:t xml:space="preserve">分(含)以上，且至少 </w:t>
            </w:r>
            <w:r w:rsidRPr="00F308BF">
              <w:rPr>
                <w:rFonts w:ascii="標楷體" w:eastAsia="標楷體" w:hAnsi="標楷體"/>
                <w:sz w:val="20"/>
                <w:lang w:eastAsia="zh-TW"/>
              </w:rPr>
              <w:t>4</w:t>
            </w:r>
            <w:r w:rsidRPr="00F308BF">
              <w:rPr>
                <w:rFonts w:ascii="標楷體" w:eastAsia="標楷體" w:hAnsi="標楷體"/>
                <w:spacing w:val="-12"/>
                <w:sz w:val="20"/>
                <w:lang w:eastAsia="zh-TW"/>
              </w:rPr>
              <w:t xml:space="preserve"> 位通過。</w:t>
            </w:r>
          </w:p>
          <w:p w:rsidR="009467CD" w:rsidRPr="00F308BF" w:rsidRDefault="00431790">
            <w:pPr>
              <w:pStyle w:val="TableParagraph"/>
              <w:spacing w:line="234" w:lineRule="exact"/>
              <w:ind w:left="229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(2)送審正教授者：6 位外審委員平均分數應達 80</w:t>
            </w:r>
          </w:p>
          <w:p w:rsidR="009467CD" w:rsidRPr="00F308BF" w:rsidRDefault="00431790">
            <w:pPr>
              <w:pStyle w:val="TableParagraph"/>
              <w:spacing w:line="219" w:lineRule="exact"/>
              <w:ind w:left="530"/>
              <w:rPr>
                <w:rFonts w:ascii="標楷體" w:eastAsia="標楷體" w:hAnsi="標楷體"/>
                <w:sz w:val="20"/>
                <w:lang w:eastAsia="zh-TW"/>
              </w:rPr>
            </w:pPr>
            <w:r w:rsidRPr="00F308BF">
              <w:rPr>
                <w:rFonts w:ascii="標楷體" w:eastAsia="標楷體" w:hAnsi="標楷體"/>
                <w:sz w:val="20"/>
                <w:lang w:eastAsia="zh-TW"/>
              </w:rPr>
              <w:t>分(含)以上，且至少 4 位通過。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485"/>
        </w:trPr>
        <w:tc>
          <w:tcPr>
            <w:tcW w:w="5796" w:type="dxa"/>
            <w:gridSpan w:val="2"/>
            <w:tcBorders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93"/>
              <w:ind w:left="1631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研究成績小計(至多100分)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467CD" w:rsidRPr="00F308BF">
        <w:trPr>
          <w:trHeight w:val="515"/>
        </w:trPr>
        <w:tc>
          <w:tcPr>
            <w:tcW w:w="5796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spacing w:before="108"/>
              <w:ind w:left="1520"/>
              <w:rPr>
                <w:rFonts w:ascii="標楷體" w:eastAsia="標楷體" w:hAnsi="標楷體"/>
                <w:lang w:eastAsia="zh-TW"/>
              </w:rPr>
            </w:pPr>
            <w:r w:rsidRPr="00F308BF">
              <w:rPr>
                <w:rFonts w:ascii="標楷體" w:eastAsia="標楷體" w:hAnsi="標楷體"/>
                <w:lang w:eastAsia="zh-TW"/>
              </w:rPr>
              <w:t>加權後研究成績佔總評分40%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18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9467CD" w:rsidRPr="00F308BF">
        <w:trPr>
          <w:trHeight w:val="388"/>
        </w:trPr>
        <w:tc>
          <w:tcPr>
            <w:tcW w:w="5796" w:type="dxa"/>
            <w:gridSpan w:val="2"/>
            <w:tcBorders>
              <w:top w:val="single" w:sz="18" w:space="0" w:color="000000"/>
              <w:right w:val="single" w:sz="4" w:space="0" w:color="000000"/>
            </w:tcBorders>
          </w:tcPr>
          <w:p w:rsidR="009467CD" w:rsidRPr="00F308BF" w:rsidRDefault="00431790">
            <w:pPr>
              <w:pStyle w:val="TableParagraph"/>
              <w:tabs>
                <w:tab w:val="left" w:pos="1014"/>
              </w:tabs>
              <w:spacing w:before="37"/>
              <w:ind w:left="21"/>
              <w:jc w:val="center"/>
              <w:rPr>
                <w:rFonts w:ascii="標楷體" w:eastAsia="標楷體" w:hAnsi="標楷體"/>
              </w:rPr>
            </w:pPr>
            <w:r w:rsidRPr="00F308BF">
              <w:rPr>
                <w:rFonts w:ascii="標楷體" w:eastAsia="標楷體" w:hAnsi="標楷體"/>
              </w:rPr>
              <w:t>總</w:t>
            </w:r>
            <w:r w:rsidRPr="00F308BF">
              <w:rPr>
                <w:rFonts w:ascii="標楷體" w:eastAsia="標楷體" w:hAnsi="標楷體"/>
              </w:rPr>
              <w:tab/>
              <w:t>計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</w:tcBorders>
          </w:tcPr>
          <w:p w:rsidR="009467CD" w:rsidRPr="00F308BF" w:rsidRDefault="009467C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431790" w:rsidRPr="00F308BF" w:rsidRDefault="00431790" w:rsidP="00170B43">
      <w:pPr>
        <w:pStyle w:val="1"/>
        <w:tabs>
          <w:tab w:val="left" w:pos="4603"/>
        </w:tabs>
        <w:ind w:left="0"/>
        <w:rPr>
          <w:rFonts w:ascii="標楷體" w:eastAsia="標楷體" w:hAnsi="標楷體"/>
        </w:rPr>
      </w:pPr>
      <w:bookmarkStart w:id="0" w:name="_GoBack"/>
      <w:bookmarkEnd w:id="0"/>
    </w:p>
    <w:sectPr w:rsidR="00431790" w:rsidRPr="00F308BF">
      <w:pgSz w:w="11910" w:h="16840"/>
      <w:pgMar w:top="13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7B0F"/>
    <w:multiLevelType w:val="hybridMultilevel"/>
    <w:tmpl w:val="727C8854"/>
    <w:lvl w:ilvl="0" w:tplc="6E588D54">
      <w:start w:val="1"/>
      <w:numFmt w:val="decimal"/>
      <w:lvlText w:val="%1."/>
      <w:lvlJc w:val="left"/>
      <w:pPr>
        <w:ind w:left="2166" w:hanging="440"/>
        <w:jc w:val="right"/>
      </w:pPr>
      <w:rPr>
        <w:rFonts w:hint="default"/>
        <w:spacing w:val="-41"/>
        <w:w w:val="100"/>
      </w:rPr>
    </w:lvl>
    <w:lvl w:ilvl="1" w:tplc="3F2E3104">
      <w:numFmt w:val="bullet"/>
      <w:lvlText w:val="•"/>
      <w:lvlJc w:val="left"/>
      <w:pPr>
        <w:ind w:left="2968" w:hanging="440"/>
      </w:pPr>
      <w:rPr>
        <w:rFonts w:hint="default"/>
      </w:rPr>
    </w:lvl>
    <w:lvl w:ilvl="2" w:tplc="D270CD4C">
      <w:numFmt w:val="bullet"/>
      <w:lvlText w:val="•"/>
      <w:lvlJc w:val="left"/>
      <w:pPr>
        <w:ind w:left="3777" w:hanging="440"/>
      </w:pPr>
      <w:rPr>
        <w:rFonts w:hint="default"/>
      </w:rPr>
    </w:lvl>
    <w:lvl w:ilvl="3" w:tplc="8AF2C652">
      <w:numFmt w:val="bullet"/>
      <w:lvlText w:val="•"/>
      <w:lvlJc w:val="left"/>
      <w:pPr>
        <w:ind w:left="4585" w:hanging="440"/>
      </w:pPr>
      <w:rPr>
        <w:rFonts w:hint="default"/>
      </w:rPr>
    </w:lvl>
    <w:lvl w:ilvl="4" w:tplc="DE842F42">
      <w:numFmt w:val="bullet"/>
      <w:lvlText w:val="•"/>
      <w:lvlJc w:val="left"/>
      <w:pPr>
        <w:ind w:left="5394" w:hanging="440"/>
      </w:pPr>
      <w:rPr>
        <w:rFonts w:hint="default"/>
      </w:rPr>
    </w:lvl>
    <w:lvl w:ilvl="5" w:tplc="85E877E6">
      <w:numFmt w:val="bullet"/>
      <w:lvlText w:val="•"/>
      <w:lvlJc w:val="left"/>
      <w:pPr>
        <w:ind w:left="6203" w:hanging="440"/>
      </w:pPr>
      <w:rPr>
        <w:rFonts w:hint="default"/>
      </w:rPr>
    </w:lvl>
    <w:lvl w:ilvl="6" w:tplc="4BFA14C2">
      <w:numFmt w:val="bullet"/>
      <w:lvlText w:val="•"/>
      <w:lvlJc w:val="left"/>
      <w:pPr>
        <w:ind w:left="7011" w:hanging="440"/>
      </w:pPr>
      <w:rPr>
        <w:rFonts w:hint="default"/>
      </w:rPr>
    </w:lvl>
    <w:lvl w:ilvl="7" w:tplc="957419F4">
      <w:numFmt w:val="bullet"/>
      <w:lvlText w:val="•"/>
      <w:lvlJc w:val="left"/>
      <w:pPr>
        <w:ind w:left="7820" w:hanging="440"/>
      </w:pPr>
      <w:rPr>
        <w:rFonts w:hint="default"/>
      </w:rPr>
    </w:lvl>
    <w:lvl w:ilvl="8" w:tplc="FEC42FFE">
      <w:numFmt w:val="bullet"/>
      <w:lvlText w:val="•"/>
      <w:lvlJc w:val="left"/>
      <w:pPr>
        <w:ind w:left="8629" w:hanging="440"/>
      </w:pPr>
      <w:rPr>
        <w:rFonts w:hint="default"/>
      </w:rPr>
    </w:lvl>
  </w:abstractNum>
  <w:abstractNum w:abstractNumId="1" w15:restartNumberingAfterBreak="0">
    <w:nsid w:val="2FC0221C"/>
    <w:multiLevelType w:val="hybridMultilevel"/>
    <w:tmpl w:val="6B446F3A"/>
    <w:lvl w:ilvl="0" w:tplc="A272754C">
      <w:start w:val="1"/>
      <w:numFmt w:val="decimal"/>
      <w:lvlText w:val="%1."/>
      <w:lvlJc w:val="left"/>
      <w:pPr>
        <w:ind w:left="273" w:hanging="245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477CBBD8">
      <w:numFmt w:val="bullet"/>
      <w:lvlText w:val="•"/>
      <w:lvlJc w:val="left"/>
      <w:pPr>
        <w:ind w:left="736" w:hanging="245"/>
      </w:pPr>
      <w:rPr>
        <w:rFonts w:hint="default"/>
      </w:rPr>
    </w:lvl>
    <w:lvl w:ilvl="2" w:tplc="F39EAA36">
      <w:numFmt w:val="bullet"/>
      <w:lvlText w:val="•"/>
      <w:lvlJc w:val="left"/>
      <w:pPr>
        <w:ind w:left="1192" w:hanging="245"/>
      </w:pPr>
      <w:rPr>
        <w:rFonts w:hint="default"/>
      </w:rPr>
    </w:lvl>
    <w:lvl w:ilvl="3" w:tplc="8D882B9A">
      <w:numFmt w:val="bullet"/>
      <w:lvlText w:val="•"/>
      <w:lvlJc w:val="left"/>
      <w:pPr>
        <w:ind w:left="1648" w:hanging="245"/>
      </w:pPr>
      <w:rPr>
        <w:rFonts w:hint="default"/>
      </w:rPr>
    </w:lvl>
    <w:lvl w:ilvl="4" w:tplc="2CF29140">
      <w:numFmt w:val="bullet"/>
      <w:lvlText w:val="•"/>
      <w:lvlJc w:val="left"/>
      <w:pPr>
        <w:ind w:left="2104" w:hanging="245"/>
      </w:pPr>
      <w:rPr>
        <w:rFonts w:hint="default"/>
      </w:rPr>
    </w:lvl>
    <w:lvl w:ilvl="5" w:tplc="BD76FA04">
      <w:numFmt w:val="bullet"/>
      <w:lvlText w:val="•"/>
      <w:lvlJc w:val="left"/>
      <w:pPr>
        <w:ind w:left="2560" w:hanging="245"/>
      </w:pPr>
      <w:rPr>
        <w:rFonts w:hint="default"/>
      </w:rPr>
    </w:lvl>
    <w:lvl w:ilvl="6" w:tplc="F86E182E">
      <w:numFmt w:val="bullet"/>
      <w:lvlText w:val="•"/>
      <w:lvlJc w:val="left"/>
      <w:pPr>
        <w:ind w:left="3016" w:hanging="245"/>
      </w:pPr>
      <w:rPr>
        <w:rFonts w:hint="default"/>
      </w:rPr>
    </w:lvl>
    <w:lvl w:ilvl="7" w:tplc="0F42B570">
      <w:numFmt w:val="bullet"/>
      <w:lvlText w:val="•"/>
      <w:lvlJc w:val="left"/>
      <w:pPr>
        <w:ind w:left="3472" w:hanging="245"/>
      </w:pPr>
      <w:rPr>
        <w:rFonts w:hint="default"/>
      </w:rPr>
    </w:lvl>
    <w:lvl w:ilvl="8" w:tplc="409ACB1E">
      <w:numFmt w:val="bullet"/>
      <w:lvlText w:val="•"/>
      <w:lvlJc w:val="left"/>
      <w:pPr>
        <w:ind w:left="3928" w:hanging="245"/>
      </w:pPr>
      <w:rPr>
        <w:rFonts w:hint="default"/>
      </w:rPr>
    </w:lvl>
  </w:abstractNum>
  <w:abstractNum w:abstractNumId="2" w15:restartNumberingAfterBreak="0">
    <w:nsid w:val="3B9210B7"/>
    <w:multiLevelType w:val="hybridMultilevel"/>
    <w:tmpl w:val="F352503E"/>
    <w:lvl w:ilvl="0" w:tplc="C0B8DA12">
      <w:start w:val="1"/>
      <w:numFmt w:val="decimal"/>
      <w:lvlText w:val="(%1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7F30D688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963E6A08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48FC6F86">
      <w:numFmt w:val="bullet"/>
      <w:lvlText w:val="•"/>
      <w:lvlJc w:val="left"/>
      <w:pPr>
        <w:ind w:left="1970" w:hanging="360"/>
      </w:pPr>
      <w:rPr>
        <w:rFonts w:hint="default"/>
      </w:rPr>
    </w:lvl>
    <w:lvl w:ilvl="4" w:tplc="E998107C"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E41A72E2">
      <w:numFmt w:val="bullet"/>
      <w:lvlText w:val="•"/>
      <w:lvlJc w:val="left"/>
      <w:pPr>
        <w:ind w:left="2790" w:hanging="360"/>
      </w:pPr>
      <w:rPr>
        <w:rFonts w:hint="default"/>
      </w:rPr>
    </w:lvl>
    <w:lvl w:ilvl="6" w:tplc="BCA6DF2C">
      <w:numFmt w:val="bullet"/>
      <w:lvlText w:val="•"/>
      <w:lvlJc w:val="left"/>
      <w:pPr>
        <w:ind w:left="3200" w:hanging="360"/>
      </w:pPr>
      <w:rPr>
        <w:rFonts w:hint="default"/>
      </w:rPr>
    </w:lvl>
    <w:lvl w:ilvl="7" w:tplc="1818ACD0">
      <w:numFmt w:val="bullet"/>
      <w:lvlText w:val="•"/>
      <w:lvlJc w:val="left"/>
      <w:pPr>
        <w:ind w:left="3610" w:hanging="360"/>
      </w:pPr>
      <w:rPr>
        <w:rFonts w:hint="default"/>
      </w:rPr>
    </w:lvl>
    <w:lvl w:ilvl="8" w:tplc="258CDA00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3" w15:restartNumberingAfterBreak="0">
    <w:nsid w:val="679C2908"/>
    <w:multiLevelType w:val="hybridMultilevel"/>
    <w:tmpl w:val="A694F5F6"/>
    <w:lvl w:ilvl="0" w:tplc="6C22E008">
      <w:start w:val="1"/>
      <w:numFmt w:val="decimal"/>
      <w:lvlText w:val="(%1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22B4D974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D0002C10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EF345534">
      <w:numFmt w:val="bullet"/>
      <w:lvlText w:val="•"/>
      <w:lvlJc w:val="left"/>
      <w:pPr>
        <w:ind w:left="1970" w:hanging="360"/>
      </w:pPr>
      <w:rPr>
        <w:rFonts w:hint="default"/>
      </w:rPr>
    </w:lvl>
    <w:lvl w:ilvl="4" w:tplc="1E40EE7E"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21FAC66E">
      <w:numFmt w:val="bullet"/>
      <w:lvlText w:val="•"/>
      <w:lvlJc w:val="left"/>
      <w:pPr>
        <w:ind w:left="2790" w:hanging="360"/>
      </w:pPr>
      <w:rPr>
        <w:rFonts w:hint="default"/>
      </w:rPr>
    </w:lvl>
    <w:lvl w:ilvl="6" w:tplc="0226DB64">
      <w:numFmt w:val="bullet"/>
      <w:lvlText w:val="•"/>
      <w:lvlJc w:val="left"/>
      <w:pPr>
        <w:ind w:left="3200" w:hanging="360"/>
      </w:pPr>
      <w:rPr>
        <w:rFonts w:hint="default"/>
      </w:rPr>
    </w:lvl>
    <w:lvl w:ilvl="7" w:tplc="3A24C22E">
      <w:numFmt w:val="bullet"/>
      <w:lvlText w:val="•"/>
      <w:lvlJc w:val="left"/>
      <w:pPr>
        <w:ind w:left="3610" w:hanging="360"/>
      </w:pPr>
      <w:rPr>
        <w:rFonts w:hint="default"/>
      </w:rPr>
    </w:lvl>
    <w:lvl w:ilvl="8" w:tplc="17C09F1C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4" w15:restartNumberingAfterBreak="0">
    <w:nsid w:val="708C6DAD"/>
    <w:multiLevelType w:val="hybridMultilevel"/>
    <w:tmpl w:val="C03AE1A0"/>
    <w:lvl w:ilvl="0" w:tplc="3B2A3A34">
      <w:start w:val="4"/>
      <w:numFmt w:val="decimal"/>
      <w:lvlText w:val="%1."/>
      <w:lvlJc w:val="left"/>
      <w:pPr>
        <w:ind w:left="273" w:hanging="245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63623880">
      <w:start w:val="1"/>
      <w:numFmt w:val="decimal"/>
      <w:lvlText w:val="(%2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2" w:tplc="1734791E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1A6283C0">
      <w:numFmt w:val="bullet"/>
      <w:lvlText w:val="•"/>
      <w:lvlJc w:val="left"/>
      <w:pPr>
        <w:ind w:left="1441" w:hanging="360"/>
      </w:pPr>
      <w:rPr>
        <w:rFonts w:hint="default"/>
      </w:rPr>
    </w:lvl>
    <w:lvl w:ilvl="4" w:tplc="D08C4C12">
      <w:numFmt w:val="bullet"/>
      <w:lvlText w:val="•"/>
      <w:lvlJc w:val="left"/>
      <w:pPr>
        <w:ind w:left="1982" w:hanging="360"/>
      </w:pPr>
      <w:rPr>
        <w:rFonts w:hint="default"/>
      </w:rPr>
    </w:lvl>
    <w:lvl w:ilvl="5" w:tplc="B84E01CC">
      <w:numFmt w:val="bullet"/>
      <w:lvlText w:val="•"/>
      <w:lvlJc w:val="left"/>
      <w:pPr>
        <w:ind w:left="2523" w:hanging="360"/>
      </w:pPr>
      <w:rPr>
        <w:rFonts w:hint="default"/>
      </w:rPr>
    </w:lvl>
    <w:lvl w:ilvl="6" w:tplc="35BE39B8">
      <w:numFmt w:val="bullet"/>
      <w:lvlText w:val="•"/>
      <w:lvlJc w:val="left"/>
      <w:pPr>
        <w:ind w:left="3064" w:hanging="360"/>
      </w:pPr>
      <w:rPr>
        <w:rFonts w:hint="default"/>
      </w:rPr>
    </w:lvl>
    <w:lvl w:ilvl="7" w:tplc="ADFC0872">
      <w:numFmt w:val="bullet"/>
      <w:lvlText w:val="•"/>
      <w:lvlJc w:val="left"/>
      <w:pPr>
        <w:ind w:left="3605" w:hanging="360"/>
      </w:pPr>
      <w:rPr>
        <w:rFonts w:hint="default"/>
      </w:rPr>
    </w:lvl>
    <w:lvl w:ilvl="8" w:tplc="42786F9C">
      <w:numFmt w:val="bullet"/>
      <w:lvlText w:val="•"/>
      <w:lvlJc w:val="left"/>
      <w:pPr>
        <w:ind w:left="4146" w:hanging="360"/>
      </w:pPr>
      <w:rPr>
        <w:rFonts w:hint="default"/>
      </w:rPr>
    </w:lvl>
  </w:abstractNum>
  <w:abstractNum w:abstractNumId="5" w15:restartNumberingAfterBreak="0">
    <w:nsid w:val="7AC1097A"/>
    <w:multiLevelType w:val="hybridMultilevel"/>
    <w:tmpl w:val="598EF3AC"/>
    <w:lvl w:ilvl="0" w:tplc="D9067588">
      <w:start w:val="5"/>
      <w:numFmt w:val="decimal"/>
      <w:lvlText w:val="%1."/>
      <w:lvlJc w:val="left"/>
      <w:pPr>
        <w:ind w:left="273" w:hanging="245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1" w:tplc="42AE57B2">
      <w:start w:val="1"/>
      <w:numFmt w:val="decimal"/>
      <w:lvlText w:val="(%2)"/>
      <w:lvlJc w:val="left"/>
      <w:pPr>
        <w:ind w:left="748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</w:rPr>
    </w:lvl>
    <w:lvl w:ilvl="2" w:tplc="C910FAD4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62804370">
      <w:numFmt w:val="bullet"/>
      <w:lvlText w:val="•"/>
      <w:lvlJc w:val="left"/>
      <w:pPr>
        <w:ind w:left="1441" w:hanging="360"/>
      </w:pPr>
      <w:rPr>
        <w:rFonts w:hint="default"/>
      </w:rPr>
    </w:lvl>
    <w:lvl w:ilvl="4" w:tplc="809C4902">
      <w:numFmt w:val="bullet"/>
      <w:lvlText w:val="•"/>
      <w:lvlJc w:val="left"/>
      <w:pPr>
        <w:ind w:left="1982" w:hanging="360"/>
      </w:pPr>
      <w:rPr>
        <w:rFonts w:hint="default"/>
      </w:rPr>
    </w:lvl>
    <w:lvl w:ilvl="5" w:tplc="3BCC741C">
      <w:numFmt w:val="bullet"/>
      <w:lvlText w:val="•"/>
      <w:lvlJc w:val="left"/>
      <w:pPr>
        <w:ind w:left="2523" w:hanging="360"/>
      </w:pPr>
      <w:rPr>
        <w:rFonts w:hint="default"/>
      </w:rPr>
    </w:lvl>
    <w:lvl w:ilvl="6" w:tplc="DC983016">
      <w:numFmt w:val="bullet"/>
      <w:lvlText w:val="•"/>
      <w:lvlJc w:val="left"/>
      <w:pPr>
        <w:ind w:left="3064" w:hanging="360"/>
      </w:pPr>
      <w:rPr>
        <w:rFonts w:hint="default"/>
      </w:rPr>
    </w:lvl>
    <w:lvl w:ilvl="7" w:tplc="3A0EA86E">
      <w:numFmt w:val="bullet"/>
      <w:lvlText w:val="•"/>
      <w:lvlJc w:val="left"/>
      <w:pPr>
        <w:ind w:left="3605" w:hanging="360"/>
      </w:pPr>
      <w:rPr>
        <w:rFonts w:hint="default"/>
      </w:rPr>
    </w:lvl>
    <w:lvl w:ilvl="8" w:tplc="22F46F86">
      <w:numFmt w:val="bullet"/>
      <w:lvlText w:val="•"/>
      <w:lvlJc w:val="left"/>
      <w:pPr>
        <w:ind w:left="414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CD"/>
    <w:rsid w:val="00057651"/>
    <w:rsid w:val="00170B43"/>
    <w:rsid w:val="00431790"/>
    <w:rsid w:val="009467CD"/>
    <w:rsid w:val="00F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85B7"/>
  <w15:docId w15:val="{7E929D79-53A1-4406-A7DF-9EFCF0CE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spacing w:before="28"/>
      <w:ind w:left="96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2"/>
      <w:ind w:left="2166" w:hanging="9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åxbY+GIUé†ÞÊUh-114.5.1bYUîc</dc:title>
  <dc:creator>USER</dc:creator>
  <cp:lastModifiedBy>USER</cp:lastModifiedBy>
  <cp:revision>4</cp:revision>
  <dcterms:created xsi:type="dcterms:W3CDTF">2025-09-09T03:22:00Z</dcterms:created>
  <dcterms:modified xsi:type="dcterms:W3CDTF">2025-09-09T03:25:00Z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2025-09-09T00:00:00Z</vt:filetime>
  </property>
</Properties>
</file>